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right"/>
      </w:pPr>
      <w:r>
        <w:rPr>
          <w:rFonts w:ascii="Calibri" w:cs="Calibri" w:eastAsia="Calibri" w:hAnsi="Calibri"/>
          <w:color w:val="4A5568"/>
          <w:sz w:val="20"/>
          <w:szCs w:val="20"/>
        </w:rPr>
        <w:t xml:space="preserve">Community Pharmacy Stakeholder</w:t>
      </w:r>
    </w:p>
    <w:p>
      <w:pPr>
        <w:spacing w:after="40" w:before="0"/>
        <w:jc w:val="right"/>
      </w:pPr>
      <w:r>
        <w:rPr>
          <w:rFonts w:ascii="Calibri" w:cs="Calibri" w:eastAsia="Calibri" w:hAnsi="Calibri"/>
          <w:color w:val="4A5568"/>
          <w:sz w:val="20"/>
          <w:szCs w:val="20"/>
        </w:rPr>
        <w:t xml:space="preserve">[Your Name]</w:t>
      </w:r>
    </w:p>
    <w:p>
      <w:pPr>
        <w:spacing w:after="40" w:before="0"/>
        <w:jc w:val="right"/>
      </w:pPr>
      <w:r>
        <w:rPr>
          <w:rFonts w:ascii="Calibri" w:cs="Calibri" w:eastAsia="Calibri" w:hAnsi="Calibri"/>
          <w:color w:val="4A5568"/>
          <w:sz w:val="20"/>
          <w:szCs w:val="20"/>
        </w:rPr>
        <w:t xml:space="preserve">[Pharmacy Name / Organization]</w:t>
      </w:r>
    </w:p>
    <w:p>
      <w:pPr>
        <w:spacing w:after="240" w:before="0"/>
        <w:jc w:val="right"/>
      </w:pPr>
      <w:r>
        <w:rPr>
          <w:rFonts w:ascii="Calibri" w:cs="Calibri" w:eastAsia="Calibri" w:hAnsi="Calibri"/>
          <w:color w:val="4A5568"/>
          <w:sz w:val="20"/>
          <w:szCs w:val="20"/>
        </w:rPr>
        <w:t xml:space="preserve">[Contact Information]</w:t>
      </w:r>
    </w:p>
    <w:p>
      <w:pPr>
        <w:spacing w:after="240" w:before="0"/>
      </w:pPr>
      <w:r>
        <w:rPr>
          <w:rFonts w:ascii="Calibri" w:cs="Calibri" w:eastAsia="Calibri" w:hAnsi="Calibri"/>
          <w:i/>
          <w:iCs/>
          <w:color w:val="4A5568"/>
          <w:sz w:val="21"/>
          <w:szCs w:val="21"/>
        </w:rPr>
        <w:t xml:space="preserve">[Date]</w:t>
      </w:r>
    </w:p>
    <w:p>
      <w:pPr>
        <w:spacing w:after="160" w:before="0"/>
      </w:pPr>
      <w:r>
        <w:rPr>
          <w:rFonts w:ascii="Calibri" w:cs="Calibri" w:eastAsia="Calibri" w:hAnsi="Calibri"/>
          <w:color w:val="1A1A2E"/>
          <w:sz w:val="21"/>
          <w:szCs w:val="21"/>
        </w:rPr>
        <w:t xml:space="preserve">Dear [Legislator / Commissioner Name],</w:t>
      </w:r>
    </w:p>
    <w:p>
      <w:pPr>
        <w:pBdr>
          <w:bottom w:val="single" w:color="1B4F8A" w:sz="4" w:space="4"/>
        </w:pBdr>
        <w:spacing w:after="200" w:before="0"/>
      </w:pPr>
      <w:r>
        <w:rPr>
          <w:rFonts w:ascii="Calibri" w:cs="Calibri" w:eastAsia="Calibri" w:hAnsi="Calibri"/>
          <w:b/>
          <w:bCs/>
          <w:color w:val="1A1A2E"/>
          <w:sz w:val="21"/>
          <w:szCs w:val="21"/>
        </w:rPr>
        <w:t xml:space="preserve">Re: </w:t>
      </w:r>
      <w:r>
        <w:rPr>
          <w:rFonts w:ascii="Calibri" w:cs="Calibri" w:eastAsia="Calibri" w:hAnsi="Calibri"/>
          <w:b/>
          <w:bCs/>
          <w:color w:val="1B4F8A"/>
          <w:sz w:val="21"/>
          <w:szCs w:val="21"/>
        </w:rPr>
        <w:t xml:space="preserve">Request for PBM Oversight and Enforcement Based on Multi-State Findings</w:t>
      </w:r>
    </w:p>
    <w:p>
      <w:pPr>
        <w:spacing w:after="0" w:before="160"/>
      </w:pPr>
      <w:r>
        <w:t xml:space="preserve"/>
      </w:r>
    </w:p>
    <w:p>
      <w:pPr>
        <w:spacing w:after="100" w:before="60"/>
        <w:jc w:val="both"/>
      </w:pPr>
      <w:r>
        <w:rPr>
          <w:rFonts w:ascii="Calibri" w:cs="Calibri" w:eastAsia="Calibri" w:hAnsi="Calibri"/>
          <w:color w:val="1A1A2E"/>
          <w:sz w:val="21"/>
          <w:szCs w:val="21"/>
        </w:rPr>
        <w:t xml:space="preserve">I am writing on behalf of community pharmacy stakeholders to bring to your attention a clear and growing pattern of Pharmacy Benefit Manager (PBM) enforcement actions occurring across multiple states. The scope and consistency of these actions warrant serious consideration and proactive oversight at the state level.</w:t>
      </w:r>
    </w:p>
    <w:p>
      <w:pPr>
        <w:pBdr>
          <w:bottom w:val="single" w:color="1B4F8A" w:sz="4" w:space="4"/>
        </w:pBdr>
        <w:spacing w:after="80" w:before="280"/>
      </w:pPr>
      <w:r>
        <w:rPr>
          <w:rFonts w:ascii="Calibri" w:cs="Calibri" w:eastAsia="Calibri" w:hAnsi="Calibri"/>
          <w:b/>
          <w:bCs/>
          <w:color w:val="1B4F8A"/>
          <w:sz w:val="22"/>
          <w:szCs w:val="22"/>
        </w:rPr>
        <w:t xml:space="preserve">Recent Multi-State PBM Enforcement Actions</w:t>
      </w:r>
    </w:p>
    <w:p>
      <w:pPr>
        <w:spacing w:after="100" w:before="60"/>
        <w:jc w:val="both"/>
      </w:pPr>
      <w:r>
        <w:rPr>
          <w:rFonts w:ascii="Calibri" w:cs="Calibri" w:eastAsia="Calibri" w:hAnsi="Calibri"/>
          <w:color w:val="1A1A2E"/>
          <w:sz w:val="21"/>
          <w:szCs w:val="21"/>
        </w:rPr>
        <w:t xml:space="preserve">The following enforcement actions have been taken against PBMs across several states, demonstrating a systemic pattern of non-compliance:</w:t>
      </w:r>
    </w:p>
    <w:p>
      <w:pPr>
        <w:spacing w:after="60" w:before="160"/>
      </w:pPr>
      <w:r>
        <w:rPr>
          <w:rFonts w:ascii="Calibri" w:cs="Calibri" w:eastAsia="Calibri" w:hAnsi="Calibri"/>
          <w:b/>
          <w:bCs/>
          <w:color w:val="1B4F8A"/>
          <w:sz w:val="21"/>
          <w:szCs w:val="21"/>
        </w:rPr>
        <w:t xml:space="preserve">Oklahoma</w:t>
      </w:r>
    </w:p>
    <w:p>
      <w:pPr>
        <w:pStyle w:val="ListParagraph"/>
        <w:numPr>
          <w:ilvl w:val="0"/>
          <w:numId w:val="2"/>
        </w:numPr>
        <w:spacing w:after="40" w:before="40"/>
      </w:pPr>
      <w:hyperlink w:history="1" r:id="rIdu3d-6xskz5fzrxupue22s">
        <w:r>
          <w:rPr>
            <w:rFonts w:ascii="Calibri" w:cs="Calibri" w:eastAsia="Calibri" w:hAnsi="Calibri"/>
            <w:color w:val="2B6CB0"/>
            <w:sz w:val="20"/>
            <w:szCs w:val="20"/>
            <w:u w:val="single"/>
          </w:rPr>
          <w:t xml:space="preserve">$5 million settlement with CVS Caremark (December 2025)</w:t>
        </w:r>
      </w:hyperlink>
    </w:p>
    <w:p>
      <w:pPr>
        <w:pStyle w:val="ListParagraph"/>
        <w:numPr>
          <w:ilvl w:val="0"/>
          <w:numId w:val="2"/>
        </w:numPr>
        <w:spacing w:after="40" w:before="40"/>
      </w:pPr>
      <w:hyperlink w:history="1" r:id="rIdvupdgkiie_a_-zxmzdh-z">
        <w:r>
          <w:rPr>
            <w:rFonts w:ascii="Calibri" w:cs="Calibri" w:eastAsia="Calibri" w:hAnsi="Calibri"/>
            <w:color w:val="2B6CB0"/>
            <w:sz w:val="20"/>
            <w:szCs w:val="20"/>
            <w:u w:val="single"/>
          </w:rPr>
          <w:t xml:space="preserve">$32 million settlement with CVS Caremark (September 2025)</w:t>
        </w:r>
      </w:hyperlink>
    </w:p>
    <w:p>
      <w:pPr>
        <w:spacing w:after="60" w:before="160"/>
      </w:pPr>
      <w:r>
        <w:rPr>
          <w:rFonts w:ascii="Calibri" w:cs="Calibri" w:eastAsia="Calibri" w:hAnsi="Calibri"/>
          <w:b/>
          <w:bCs/>
          <w:color w:val="1B4F8A"/>
          <w:sz w:val="21"/>
          <w:szCs w:val="21"/>
        </w:rPr>
        <w:t xml:space="preserve">Arkansas</w:t>
      </w:r>
    </w:p>
    <w:p>
      <w:pPr>
        <w:pStyle w:val="ListParagraph"/>
        <w:numPr>
          <w:ilvl w:val="0"/>
          <w:numId w:val="2"/>
        </w:numPr>
        <w:spacing w:after="40" w:before="40"/>
      </w:pPr>
      <w:hyperlink w:history="1" r:id="rIdem8n_f2ldjgw3r83lk5vi">
        <w:r>
          <w:rPr>
            <w:rFonts w:ascii="Calibri" w:cs="Calibri" w:eastAsia="Calibri" w:hAnsi="Calibri"/>
            <w:color w:val="2B6CB0"/>
            <w:sz w:val="20"/>
            <w:szCs w:val="20"/>
            <w:u w:val="single"/>
          </w:rPr>
          <w:t xml:space="preserve">$1.47 million in fines issued to four PBMs for underpaying pharmacies</w:t>
        </w:r>
      </w:hyperlink>
    </w:p>
    <w:p>
      <w:pPr>
        <w:spacing w:after="60" w:before="160"/>
      </w:pPr>
      <w:r>
        <w:rPr>
          <w:rFonts w:ascii="Calibri" w:cs="Calibri" w:eastAsia="Calibri" w:hAnsi="Calibri"/>
          <w:b/>
          <w:bCs/>
          <w:color w:val="1B4F8A"/>
          <w:sz w:val="21"/>
          <w:szCs w:val="21"/>
        </w:rPr>
        <w:t xml:space="preserve">West Virginia</w:t>
      </w:r>
    </w:p>
    <w:p>
      <w:pPr>
        <w:pStyle w:val="ListParagraph"/>
        <w:numPr>
          <w:ilvl w:val="0"/>
          <w:numId w:val="2"/>
        </w:numPr>
        <w:spacing w:after="40" w:before="40"/>
      </w:pPr>
      <w:hyperlink w:history="1" r:id="rIdziskcplttq0b05adbslti">
        <w:r>
          <w:rPr>
            <w:rFonts w:ascii="Calibri" w:cs="Calibri" w:eastAsia="Calibri" w:hAnsi="Calibri"/>
            <w:color w:val="2B6CB0"/>
            <w:sz w:val="20"/>
            <w:szCs w:val="20"/>
            <w:u w:val="single"/>
          </w:rPr>
          <w:t xml:space="preserve">$15 million penalty assessed for PBM compliance violations</w:t>
        </w:r>
      </w:hyperlink>
    </w:p>
    <w:p>
      <w:pPr>
        <w:pStyle w:val="ListParagraph"/>
        <w:numPr>
          <w:ilvl w:val="0"/>
          <w:numId w:val="2"/>
        </w:numPr>
        <w:spacing w:after="40" w:before="40"/>
      </w:pPr>
      <w:hyperlink w:history="1" r:id="rIdv8-g3tufhkv5pak-oagv_">
        <w:r>
          <w:rPr>
            <w:rFonts w:ascii="Calibri" w:cs="Calibri" w:eastAsia="Calibri" w:hAnsi="Calibri"/>
            <w:color w:val="2B6CB0"/>
            <w:sz w:val="20"/>
            <w:szCs w:val="20"/>
            <w:u w:val="single"/>
          </w:rPr>
          <w:t xml:space="preserve">Additional regulatory documentation (WV Insurance Commissioner)</w:t>
        </w:r>
      </w:hyperlink>
    </w:p>
    <w:p>
      <w:pPr>
        <w:spacing w:after="60" w:before="160"/>
      </w:pPr>
      <w:r>
        <w:rPr>
          <w:rFonts w:ascii="Calibri" w:cs="Calibri" w:eastAsia="Calibri" w:hAnsi="Calibri"/>
          <w:b/>
          <w:bCs/>
          <w:color w:val="1B4F8A"/>
          <w:sz w:val="21"/>
          <w:szCs w:val="21"/>
        </w:rPr>
        <w:t xml:space="preserve">Alabama</w:t>
      </w:r>
    </w:p>
    <w:p>
      <w:pPr>
        <w:pStyle w:val="ListParagraph"/>
        <w:numPr>
          <w:ilvl w:val="0"/>
          <w:numId w:val="2"/>
        </w:numPr>
        <w:spacing w:after="40" w:before="40"/>
      </w:pPr>
      <w:hyperlink w:history="1" r:id="rIdnts7zsbatcytbdcr28olz">
        <w:r>
          <w:rPr>
            <w:rFonts w:ascii="Calibri" w:cs="Calibri" w:eastAsia="Calibri" w:hAnsi="Calibri"/>
            <w:color w:val="2B6CB0"/>
            <w:sz w:val="20"/>
            <w:szCs w:val="20"/>
            <w:u w:val="single"/>
          </w:rPr>
          <w:t xml:space="preserve">Consent order and regulatory action (ALDOI)</w:t>
        </w:r>
      </w:hyperlink>
    </w:p>
    <w:p>
      <w:pPr>
        <w:spacing w:after="60" w:before="160"/>
      </w:pPr>
      <w:r>
        <w:rPr>
          <w:rFonts w:ascii="Calibri" w:cs="Calibri" w:eastAsia="Calibri" w:hAnsi="Calibri"/>
          <w:b/>
          <w:bCs/>
          <w:color w:val="1B4F8A"/>
          <w:sz w:val="21"/>
          <w:szCs w:val="21"/>
        </w:rPr>
        <w:t xml:space="preserve">Tennessee</w:t>
      </w:r>
    </w:p>
    <w:p>
      <w:pPr>
        <w:pStyle w:val="ListParagraph"/>
        <w:numPr>
          <w:ilvl w:val="0"/>
          <w:numId w:val="2"/>
        </w:numPr>
        <w:spacing w:after="40" w:before="40"/>
      </w:pPr>
      <w:hyperlink w:history="1" r:id="rIdr12mxhwuaet5m1jkvkfwp">
        <w:r>
          <w:rPr>
            <w:rFonts w:ascii="Calibri" w:cs="Calibri" w:eastAsia="Calibri" w:hAnsi="Calibri"/>
            <w:color w:val="2B6CB0"/>
            <w:sz w:val="20"/>
            <w:szCs w:val="20"/>
            <w:u w:val="single"/>
          </w:rPr>
          <w:t xml:space="preserve">TDCI audit of CVS Caremark</w:t>
        </w:r>
      </w:hyperlink>
    </w:p>
    <w:p>
      <w:pPr>
        <w:pStyle w:val="ListParagraph"/>
        <w:numPr>
          <w:ilvl w:val="0"/>
          <w:numId w:val="2"/>
        </w:numPr>
        <w:spacing w:after="40" w:before="40"/>
      </w:pPr>
      <w:hyperlink w:history="1" r:id="rIdkriukp6fm9lthqoqey444">
        <w:r>
          <w:rPr>
            <w:rFonts w:ascii="Calibri" w:cs="Calibri" w:eastAsia="Calibri" w:hAnsi="Calibri"/>
            <w:color w:val="2B6CB0"/>
            <w:sz w:val="20"/>
            <w:szCs w:val="20"/>
            <w:u w:val="single"/>
          </w:rPr>
          <w:t xml:space="preserve">PBM audit reports — Tennessee state repository</w:t>
        </w:r>
      </w:hyperlink>
    </w:p>
    <w:p>
      <w:pPr>
        <w:pStyle w:val="ListParagraph"/>
        <w:numPr>
          <w:ilvl w:val="0"/>
          <w:numId w:val="2"/>
        </w:numPr>
        <w:spacing w:after="40" w:before="40"/>
      </w:pPr>
      <w:hyperlink w:history="1" r:id="rIdgndxm8l60f5xgdrjvr8sf">
        <w:r>
          <w:rPr>
            <w:rFonts w:ascii="Calibri" w:cs="Calibri" w:eastAsia="Calibri" w:hAnsi="Calibri"/>
            <w:color w:val="2B6CB0"/>
            <w:sz w:val="20"/>
            <w:szCs w:val="20"/>
            <w:u w:val="single"/>
          </w:rPr>
          <w:t xml:space="preserve">Express Scripts consent order</w:t>
        </w:r>
      </w:hyperlink>
    </w:p>
    <w:p>
      <w:pPr>
        <w:pBdr>
          <w:bottom w:val="single" w:color="1B4F8A" w:sz="4" w:space="4"/>
        </w:pBdr>
        <w:spacing w:after="80" w:before="280"/>
      </w:pPr>
      <w:r>
        <w:rPr>
          <w:rFonts w:ascii="Calibri" w:cs="Calibri" w:eastAsia="Calibri" w:hAnsi="Calibri"/>
          <w:b/>
          <w:bCs/>
          <w:color w:val="1B4F8A"/>
          <w:sz w:val="22"/>
          <w:szCs w:val="22"/>
        </w:rPr>
        <w:t xml:space="preserve">Key Observations</w:t>
      </w:r>
    </w:p>
    <w:p>
      <w:pPr>
        <w:spacing w:after="100" w:before="60"/>
        <w:jc w:val="both"/>
      </w:pPr>
      <w:r>
        <w:rPr>
          <w:rFonts w:ascii="Calibri" w:cs="Calibri" w:eastAsia="Calibri" w:hAnsi="Calibri"/>
          <w:color w:val="1A1A2E"/>
          <w:sz w:val="21"/>
          <w:szCs w:val="21"/>
        </w:rPr>
        <w:t xml:space="preserve">These enforcement actions reflect a consistent and repeatable pattern: PBMs are being found in violation of reimbursement and compliance standards across the country, resulting in significant financial penalties. This is not a coincidence or an isolated regional issue.</w:t>
      </w:r>
    </w:p>
    <w:p>
      <w:pPr>
        <w:spacing w:after="100" w:before="60"/>
        <w:jc w:val="both"/>
      </w:pPr>
      <w:r>
        <w:rPr>
          <w:rFonts w:ascii="Calibri" w:cs="Calibri" w:eastAsia="Calibri" w:hAnsi="Calibri"/>
          <w:color w:val="1A1A2E"/>
          <w:sz w:val="21"/>
          <w:szCs w:val="21"/>
        </w:rPr>
        <w:t xml:space="preserve">PBMs do not selectively apply their business models on a state-by-state basis. Their reimbursement methodologies and operational behaviors are implemented nationally. The same practices penalized in Oklahoma, Arkansas, West Virginia, Alabama, and Tennessee are highly likely to exist in our state as well.</w:t>
      </w:r>
    </w:p>
    <w:p>
      <w:pPr>
        <w:pBdr>
          <w:bottom w:val="single" w:color="1B4F8A" w:sz="4" w:space="4"/>
        </w:pBdr>
        <w:spacing w:after="80" w:before="280"/>
      </w:pPr>
      <w:r>
        <w:rPr>
          <w:rFonts w:ascii="Calibri" w:cs="Calibri" w:eastAsia="Calibri" w:hAnsi="Calibri"/>
          <w:b/>
          <w:bCs/>
          <w:color w:val="1B4F8A"/>
          <w:sz w:val="22"/>
          <w:szCs w:val="22"/>
        </w:rPr>
        <w:t xml:space="preserve">Requested Actions</w:t>
      </w:r>
    </w:p>
    <w:p>
      <w:pPr>
        <w:spacing w:after="100" w:before="60"/>
        <w:jc w:val="both"/>
      </w:pPr>
      <w:r>
        <w:rPr>
          <w:rFonts w:ascii="Calibri" w:cs="Calibri" w:eastAsia="Calibri" w:hAnsi="Calibri"/>
          <w:color w:val="1A1A2E"/>
          <w:sz w:val="21"/>
          <w:szCs w:val="21"/>
        </w:rPr>
        <w:t xml:space="preserve">In light of this documented pattern, we respectfully request that your office take the following steps:</w:t>
      </w:r>
    </w:p>
    <w:p>
      <w:pPr>
        <w:pStyle w:val="ListParagraph"/>
        <w:numPr>
          <w:ilvl w:val="0"/>
          <w:numId w:val="3"/>
        </w:numPr>
        <w:spacing w:after="80" w:before="80"/>
      </w:pPr>
      <w:r>
        <w:rPr>
          <w:rFonts w:ascii="Calibri" w:cs="Calibri" w:eastAsia="Calibri" w:hAnsi="Calibri"/>
          <w:b/>
          <w:bCs/>
          <w:color w:val="1A1A2E"/>
          <w:sz w:val="21"/>
          <w:szCs w:val="21"/>
        </w:rPr>
        <w:t xml:space="preserve">Comprehensive PBM Audits: </w:t>
      </w:r>
      <w:r>
        <w:rPr>
          <w:rFonts w:ascii="Calibri" w:cs="Calibri" w:eastAsia="Calibri" w:hAnsi="Calibri"/>
          <w:color w:val="1A1A2E"/>
          <w:sz w:val="21"/>
          <w:szCs w:val="21"/>
        </w:rPr>
        <w:t xml:space="preserve">Conduct targeted audits within our state, with particular focus on reimbursement practices and compliance with existing pharmacy laws and regulations.</w:t>
      </w:r>
    </w:p>
    <w:p>
      <w:pPr>
        <w:pStyle w:val="ListParagraph"/>
        <w:numPr>
          <w:ilvl w:val="0"/>
          <w:numId w:val="3"/>
        </w:numPr>
        <w:spacing w:after="80" w:before="80"/>
      </w:pPr>
      <w:r>
        <w:rPr>
          <w:rFonts w:ascii="Calibri" w:cs="Calibri" w:eastAsia="Calibri" w:hAnsi="Calibri"/>
          <w:b/>
          <w:bCs/>
          <w:color w:val="1A1A2E"/>
          <w:sz w:val="21"/>
          <w:szCs w:val="21"/>
        </w:rPr>
        <w:t xml:space="preserve">Enforcement of Existing Statutes: </w:t>
      </w:r>
      <w:r>
        <w:rPr>
          <w:rFonts w:ascii="Calibri" w:cs="Calibri" w:eastAsia="Calibri" w:hAnsi="Calibri"/>
          <w:color w:val="1A1A2E"/>
          <w:sz w:val="21"/>
          <w:szCs w:val="21"/>
        </w:rPr>
        <w:t xml:space="preserve">Where violations are identified, pursue enforcement actions commensurate with the findings, including financial penalties and corrective measures.</w:t>
      </w:r>
    </w:p>
    <w:p>
      <w:pPr>
        <w:pStyle w:val="ListParagraph"/>
        <w:numPr>
          <w:ilvl w:val="0"/>
          <w:numId w:val="3"/>
        </w:numPr>
        <w:spacing w:after="80" w:before="80"/>
      </w:pPr>
      <w:r>
        <w:rPr>
          <w:rFonts w:ascii="Calibri" w:cs="Calibri" w:eastAsia="Calibri" w:hAnsi="Calibri"/>
          <w:b/>
          <w:bCs/>
          <w:color w:val="1A1A2E"/>
          <w:sz w:val="21"/>
          <w:szCs w:val="21"/>
        </w:rPr>
        <w:t xml:space="preserve">Increased Transparency Requirements: </w:t>
      </w:r>
      <w:r>
        <w:rPr>
          <w:rFonts w:ascii="Calibri" w:cs="Calibri" w:eastAsia="Calibri" w:hAnsi="Calibri"/>
          <w:color w:val="1A1A2E"/>
          <w:sz w:val="21"/>
          <w:szCs w:val="21"/>
        </w:rPr>
        <w:t xml:space="preserve">Mandate greater disclosure from PBMs, including access to acquisition cost data, reimbursement methodologies, and spread pricing practices.</w:t>
      </w:r>
    </w:p>
    <w:p>
      <w:pPr>
        <w:pStyle w:val="ListParagraph"/>
        <w:numPr>
          <w:ilvl w:val="0"/>
          <w:numId w:val="3"/>
        </w:numPr>
        <w:spacing w:after="80" w:before="80"/>
      </w:pPr>
      <w:r>
        <w:rPr>
          <w:rFonts w:ascii="Calibri" w:cs="Calibri" w:eastAsia="Calibri" w:hAnsi="Calibri"/>
          <w:b/>
          <w:bCs/>
          <w:color w:val="1A1A2E"/>
          <w:sz w:val="21"/>
          <w:szCs w:val="21"/>
        </w:rPr>
        <w:t xml:space="preserve">Clear Complaint and Escalation Pathways: </w:t>
      </w:r>
      <w:r>
        <w:rPr>
          <w:rFonts w:ascii="Calibri" w:cs="Calibri" w:eastAsia="Calibri" w:hAnsi="Calibri"/>
          <w:color w:val="1A1A2E"/>
          <w:sz w:val="21"/>
          <w:szCs w:val="21"/>
        </w:rPr>
        <w:t xml:space="preserve">Establish accessible and well-publicized channels for pharmacies to report underpayment, contract violations, and other non-compliant behaviors.</w:t>
      </w:r>
    </w:p>
    <w:p>
      <w:pPr>
        <w:pBdr>
          <w:bottom w:val="single" w:color="1B4F8A" w:sz="4" w:space="4"/>
        </w:pBdr>
        <w:spacing w:after="80" w:before="280"/>
      </w:pPr>
      <w:r>
        <w:rPr>
          <w:rFonts w:ascii="Calibri" w:cs="Calibri" w:eastAsia="Calibri" w:hAnsi="Calibri"/>
          <w:b/>
          <w:bCs/>
          <w:color w:val="1B4F8A"/>
          <w:sz w:val="22"/>
          <w:szCs w:val="22"/>
        </w:rPr>
        <w:t xml:space="preserve">Closing Perspective</w:t>
      </w:r>
    </w:p>
    <w:p>
      <w:pPr>
        <w:spacing w:after="100" w:before="60"/>
        <w:jc w:val="both"/>
      </w:pPr>
      <w:r>
        <w:rPr>
          <w:rFonts w:ascii="Calibri" w:cs="Calibri" w:eastAsia="Calibri" w:hAnsi="Calibri"/>
          <w:color w:val="1A1A2E"/>
          <w:sz w:val="21"/>
          <w:szCs w:val="21"/>
        </w:rPr>
        <w:t xml:space="preserve">We urge you to view PBM oversight not as a regulatory burden, but as a meaningful opportunity to protect patients, ensure fair market practices, and sustain access to community pharmacy care throughout our state.</w:t>
      </w:r>
    </w:p>
    <w:p>
      <w:pPr>
        <w:spacing w:after="100" w:before="60"/>
        <w:jc w:val="both"/>
      </w:pPr>
      <w:r>
        <w:rPr>
          <w:rFonts w:ascii="Calibri" w:cs="Calibri" w:eastAsia="Calibri" w:hAnsi="Calibri"/>
          <w:color w:val="1A1A2E"/>
          <w:sz w:val="21"/>
          <w:szCs w:val="21"/>
        </w:rPr>
        <w:t xml:space="preserve">States across the country are demonstrating that diligent oversight leads to accountability and, ultimately, better outcomes for patients and providers alike. We are confident that [State Name] has the tools and authority to take similar action, and we stand ready to provide any additional information or support that would be helpful.</w:t>
      </w:r>
    </w:p>
    <w:p>
      <w:pPr>
        <w:spacing w:after="100" w:before="60"/>
        <w:jc w:val="both"/>
      </w:pPr>
      <w:r>
        <w:rPr>
          <w:rFonts w:ascii="Calibri" w:cs="Calibri" w:eastAsia="Calibri" w:hAnsi="Calibri"/>
          <w:color w:val="1A1A2E"/>
          <w:sz w:val="21"/>
          <w:szCs w:val="21"/>
        </w:rPr>
        <w:t xml:space="preserve">Thank you for your time and attention to this important matter. We welcome the opportunity to discuss these findings further at your convenience.</w:t>
      </w:r>
    </w:p>
    <w:p>
      <w:pPr>
        <w:spacing w:after="0" w:before="240"/>
      </w:pPr>
      <w:r>
        <w:t xml:space="preserve"/>
      </w:r>
    </w:p>
    <w:p>
      <w:pPr>
        <w:spacing w:after="320" w:before="0"/>
      </w:pPr>
      <w:r>
        <w:rPr>
          <w:rFonts w:ascii="Calibri" w:cs="Calibri" w:eastAsia="Calibri" w:hAnsi="Calibri"/>
          <w:color w:val="1A1A2E"/>
          <w:sz w:val="21"/>
          <w:szCs w:val="21"/>
        </w:rPr>
        <w:t xml:space="preserve">Sincerely,</w:t>
      </w:r>
    </w:p>
    <w:p>
      <w:pPr>
        <w:spacing w:after="60" w:before="0"/>
      </w:pPr>
      <w:r>
        <w:rPr>
          <w:rFonts w:ascii="Calibri" w:cs="Calibri" w:eastAsia="Calibri" w:hAnsi="Calibri"/>
          <w:b/>
          <w:bCs/>
          <w:color w:val="1A1A2E"/>
          <w:sz w:val="21"/>
          <w:szCs w:val="21"/>
        </w:rPr>
        <w:t xml:space="preserve">[Your Name]</w:t>
      </w:r>
    </w:p>
    <w:p>
      <w:pPr>
        <w:spacing w:after="60" w:before="0"/>
      </w:pPr>
      <w:r>
        <w:rPr>
          <w:rFonts w:ascii="Calibri" w:cs="Calibri" w:eastAsia="Calibri" w:hAnsi="Calibri"/>
          <w:color w:val="4A5568"/>
          <w:sz w:val="21"/>
          <w:szCs w:val="21"/>
        </w:rPr>
        <w:t xml:space="preserve">[Pharmacy Name / Organization]</w:t>
      </w:r>
    </w:p>
    <w:p>
      <w:pPr>
        <w:spacing w:after="60" w:before="0"/>
      </w:pPr>
      <w:r>
        <w:rPr>
          <w:rFonts w:ascii="Calibri" w:cs="Calibri" w:eastAsia="Calibri" w:hAnsi="Calibri"/>
          <w:color w:val="4A5568"/>
          <w:sz w:val="21"/>
          <w:szCs w:val="21"/>
        </w:rPr>
        <w:t xml:space="preserve">[Contact Information]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u3d-6xskz5fzrxupue22s" Type="http://schemas.openxmlformats.org/officeDocument/2006/relationships/hyperlink" Target="https://oklahoma.gov/oag/news/newsroom/2025/december/drummond-holds-cvs-caremark-accountable-with-5m-settlement.html" TargetMode="External"/><Relationship Id="rIdvupdgkiie_a_-zxmzdh-z" Type="http://schemas.openxmlformats.org/officeDocument/2006/relationships/hyperlink" Target="https://oklahoma.gov/oag/news/newsroom/2025/september/drummond-secures-32m-in-settlement-with-cvs-caremark.html" TargetMode="External"/><Relationship Id="rIdem8n_f2ldjgw3r83lk5vi" Type="http://schemas.openxmlformats.org/officeDocument/2006/relationships/hyperlink" Target="https://arkansasadvocate.com/2024/08/06/arkansas-orders-four-pharmacy-benefit-managers-to-pay-1-47m-in-fines-for-underpaying-drugstores/" TargetMode="External"/><Relationship Id="rIdziskcplttq0b05adbslti" Type="http://schemas.openxmlformats.org/officeDocument/2006/relationships/hyperlink" Target="https://www.duanemorris.com/alerts/west_virginia_insurance_commissioner_assesses_15_million_penalty_pbm_compliance_0326.html" TargetMode="External"/><Relationship Id="rIdv8-g3tufhkv5pak-oagv_" Type="http://schemas.openxmlformats.org/officeDocument/2006/relationships/hyperlink" Target="https://www.wvinsurance.gov/LinkClick.aspx?fileticket=TUEm-nZ7yfQ%3D&amp;tabid=915&amp;portalid=0&amp;mid=6924" TargetMode="External"/><Relationship Id="rIdnts7zsbatcytbdcr28olz" Type="http://schemas.openxmlformats.org/officeDocument/2006/relationships/hyperlink" Target="https://aldoi.gov/pdf/legal/P-2026-29vrl.pdf" TargetMode="External"/><Relationship Id="rIdr12mxhwuaet5m1jkvkfwp" Type="http://schemas.openxmlformats.org/officeDocument/2006/relationships/hyperlink" Target="https://tnpharm.org/tdci-audit-of-cvs-caremark/" TargetMode="External"/><Relationship Id="rIdkriukp6fm9lthqoqey444" Type="http://schemas.openxmlformats.org/officeDocument/2006/relationships/hyperlink" Target="https://www.tn.gov/commerce/insurance/pbm/audit-reports.html" TargetMode="External"/><Relationship Id="rIdgndxm8l60f5xgdrjvr8sf" Type="http://schemas.openxmlformats.org/officeDocument/2006/relationships/hyperlink" Target="https://www.tn.gov/content/dam/tn/commerce/documents/insurance/pbm/pbm-audit-actions/archive/ExpressScriptsAdminLLCConsentOrder0912025.pdf" TargetMode="External"/><Relationship Id="rId1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2026-04-05T14:37:16.769Z</dcterms:created>
  <dcterms:modified xsi:type="dcterms:W3CDTF">2026-04-05T14:37:16.770Z</dcterms:modified>
</cp:coreProperties>
</file>

<file path=docProps/custom.xml><?xml version="1.0" encoding="utf-8"?>
<Properties xmlns="http://schemas.openxmlformats.org/officeDocument/2006/custom-properties" xmlns:vt="http://schemas.openxmlformats.org/officeDocument/2006/docPropsVTypes"/>
</file>